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DE" w:rsidRPr="008D7859" w:rsidRDefault="007222DE" w:rsidP="007222DE">
      <w:pPr>
        <w:pStyle w:val="2"/>
        <w:spacing w:before="0" w:after="0"/>
        <w:jc w:val="center"/>
      </w:pPr>
      <w:r w:rsidRPr="008D7859"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1.45pt" o:ole="" fillcolor="window">
            <v:imagedata r:id="rId5" o:title=""/>
          </v:shape>
          <o:OLEObject Type="Embed" ProgID="Word.Picture.8" ShapeID="_x0000_i1025" DrawAspect="Content" ObjectID="_1615273824" r:id="rId6"/>
        </w:object>
      </w:r>
    </w:p>
    <w:p w:rsidR="007222DE" w:rsidRPr="008D7859" w:rsidRDefault="007222DE" w:rsidP="007222DE">
      <w:pPr>
        <w:pStyle w:val="2"/>
        <w:spacing w:before="0" w:after="0"/>
        <w:jc w:val="center"/>
        <w:rPr>
          <w:caps/>
          <w:sz w:val="24"/>
        </w:rPr>
      </w:pPr>
    </w:p>
    <w:p w:rsidR="007222DE" w:rsidRPr="000C73D5" w:rsidRDefault="007222DE" w:rsidP="0072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«Улыс Воч</w:t>
      </w:r>
      <w:r w:rsidRPr="000C73D5">
        <w:rPr>
          <w:b/>
          <w:sz w:val="28"/>
          <w:szCs w:val="28"/>
        </w:rPr>
        <w:t>» сикт овмöдчöминса администрация</w:t>
      </w:r>
    </w:p>
    <w:p w:rsidR="007222DE" w:rsidRDefault="007222DE" w:rsidP="007222DE">
      <w:pPr>
        <w:jc w:val="center"/>
        <w:rPr>
          <w:b/>
          <w:sz w:val="34"/>
          <w:szCs w:val="34"/>
        </w:rPr>
      </w:pPr>
      <w:proofErr w:type="gramStart"/>
      <w:r w:rsidRPr="00662387">
        <w:rPr>
          <w:b/>
          <w:sz w:val="34"/>
          <w:szCs w:val="34"/>
        </w:rPr>
        <w:t>ШУÖМ</w:t>
      </w:r>
      <w:proofErr w:type="gramEnd"/>
    </w:p>
    <w:p w:rsidR="007222DE" w:rsidRPr="00662387" w:rsidRDefault="00F36A24" w:rsidP="007222DE">
      <w:pPr>
        <w:tabs>
          <w:tab w:val="left" w:pos="43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10pt,-.1pt" to="460pt,1.4pt" o:allowincell="f">
            <w10:wrap anchorx="page"/>
          </v:line>
        </w:pict>
      </w:r>
      <w:r w:rsidR="007222DE" w:rsidRPr="00662387">
        <w:rPr>
          <w:b/>
          <w:sz w:val="28"/>
          <w:szCs w:val="28"/>
        </w:rPr>
        <w:t>Администрац</w:t>
      </w:r>
      <w:r w:rsidR="007222DE">
        <w:rPr>
          <w:b/>
          <w:sz w:val="28"/>
          <w:szCs w:val="28"/>
        </w:rPr>
        <w:t>ия сельского поселения «</w:t>
      </w:r>
      <w:proofErr w:type="gramStart"/>
      <w:r w:rsidR="007222DE">
        <w:rPr>
          <w:b/>
          <w:sz w:val="28"/>
          <w:szCs w:val="28"/>
        </w:rPr>
        <w:t>Нижний</w:t>
      </w:r>
      <w:proofErr w:type="gramEnd"/>
      <w:r w:rsidR="007222DE">
        <w:rPr>
          <w:b/>
          <w:sz w:val="28"/>
          <w:szCs w:val="28"/>
        </w:rPr>
        <w:t xml:space="preserve"> Воч</w:t>
      </w:r>
      <w:r w:rsidR="007222DE" w:rsidRPr="00662387">
        <w:rPr>
          <w:b/>
          <w:sz w:val="28"/>
          <w:szCs w:val="28"/>
        </w:rPr>
        <w:t>»</w:t>
      </w:r>
    </w:p>
    <w:p w:rsidR="007222DE" w:rsidRDefault="007222DE" w:rsidP="007222DE">
      <w:pPr>
        <w:spacing w:after="720"/>
        <w:jc w:val="center"/>
        <w:rPr>
          <w:b/>
          <w:sz w:val="34"/>
          <w:szCs w:val="34"/>
        </w:rPr>
      </w:pPr>
      <w:r w:rsidRPr="003679CA">
        <w:rPr>
          <w:b/>
          <w:sz w:val="34"/>
          <w:szCs w:val="34"/>
        </w:rPr>
        <w:t>ПОСТАНОВЛЕНИЕ</w:t>
      </w:r>
    </w:p>
    <w:p w:rsidR="007222DE" w:rsidRPr="00061011" w:rsidRDefault="001048B9" w:rsidP="007222DE">
      <w:pPr>
        <w:spacing w:after="480"/>
        <w:rPr>
          <w:b/>
          <w:sz w:val="34"/>
          <w:szCs w:val="34"/>
        </w:rPr>
      </w:pPr>
      <w:r>
        <w:rPr>
          <w:sz w:val="28"/>
          <w:szCs w:val="28"/>
        </w:rPr>
        <w:t xml:space="preserve">    28 марта 2019</w:t>
      </w:r>
      <w:r w:rsidR="007222DE">
        <w:rPr>
          <w:sz w:val="28"/>
          <w:szCs w:val="28"/>
        </w:rPr>
        <w:t xml:space="preserve"> года</w:t>
      </w:r>
      <w:r w:rsidR="007222DE" w:rsidRPr="000116E3">
        <w:rPr>
          <w:sz w:val="28"/>
          <w:szCs w:val="28"/>
        </w:rPr>
        <w:tab/>
      </w:r>
      <w:r w:rsidR="007222DE" w:rsidRPr="000116E3">
        <w:rPr>
          <w:sz w:val="28"/>
          <w:szCs w:val="28"/>
        </w:rPr>
        <w:tab/>
        <w:t xml:space="preserve">          </w:t>
      </w:r>
      <w:r w:rsidR="007222DE">
        <w:rPr>
          <w:sz w:val="28"/>
          <w:szCs w:val="28"/>
        </w:rPr>
        <w:t xml:space="preserve">                                                         </w:t>
      </w:r>
      <w:r w:rsidR="007222DE" w:rsidRPr="000116E3">
        <w:rPr>
          <w:sz w:val="28"/>
          <w:szCs w:val="28"/>
        </w:rPr>
        <w:t>№</w:t>
      </w:r>
      <w:r w:rsidR="007222DE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</w:p>
    <w:p w:rsidR="007222DE" w:rsidRPr="003679CA" w:rsidRDefault="007222DE" w:rsidP="007222DE">
      <w:pPr>
        <w:spacing w:before="480"/>
        <w:jc w:val="center"/>
      </w:pPr>
      <w:r w:rsidRPr="003679CA">
        <w:t>Республика Коми</w:t>
      </w:r>
    </w:p>
    <w:p w:rsidR="007222DE" w:rsidRPr="003679CA" w:rsidRDefault="007222DE" w:rsidP="007222DE">
      <w:pPr>
        <w:jc w:val="center"/>
      </w:pPr>
      <w:r w:rsidRPr="003679CA">
        <w:t>Усть-Куломский район</w:t>
      </w:r>
    </w:p>
    <w:p w:rsidR="00926585" w:rsidRPr="007222DE" w:rsidRDefault="007222DE" w:rsidP="007222DE">
      <w:pPr>
        <w:spacing w:after="480"/>
        <w:jc w:val="center"/>
      </w:pPr>
      <w:r>
        <w:t>с. Нижний Воч</w:t>
      </w:r>
    </w:p>
    <w:p w:rsidR="00926585" w:rsidRDefault="00926585" w:rsidP="0092658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="00F60925">
        <w:rPr>
          <w:rFonts w:ascii="Times New Roman" w:hAnsi="Times New Roman" w:cs="Times New Roman"/>
          <w:b w:val="0"/>
          <w:sz w:val="28"/>
          <w:szCs w:val="28"/>
        </w:rPr>
        <w:t xml:space="preserve"> на местного бюджета</w:t>
      </w:r>
      <w:r w:rsidR="00F60925" w:rsidRPr="00DE5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925">
        <w:rPr>
          <w:rFonts w:ascii="Times New Roman" w:hAnsi="Times New Roman" w:cs="Times New Roman"/>
          <w:b w:val="0"/>
          <w:sz w:val="28"/>
          <w:szCs w:val="28"/>
        </w:rPr>
        <w:t>сельского поселения «Нижний Воч» 2019 год</w:t>
      </w:r>
    </w:p>
    <w:p w:rsidR="00926585" w:rsidRDefault="00926585" w:rsidP="0092658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</w:p>
    <w:p w:rsidR="00926585" w:rsidRDefault="00DE59DE" w:rsidP="00926585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п. 4 ст.47(1) Закона Республики Коми от 01.10.2007 г. № 88-РЗ «О бюджетной системе и бюджетном процессе в Республике Коми», в</w:t>
      </w:r>
      <w:r w:rsidR="00926585">
        <w:rPr>
          <w:rFonts w:ascii="Times New Roman" w:hAnsi="Times New Roman" w:cs="Times New Roman"/>
          <w:b w:val="0"/>
          <w:sz w:val="28"/>
          <w:szCs w:val="28"/>
        </w:rPr>
        <w:t>о исполнение Соглашения  с Финансовым управлением администрации муниципального района «Усть-Куломский»</w:t>
      </w:r>
      <w:r w:rsidR="001048B9">
        <w:rPr>
          <w:rFonts w:ascii="Times New Roman" w:hAnsi="Times New Roman" w:cs="Times New Roman"/>
          <w:b w:val="0"/>
          <w:sz w:val="28"/>
          <w:szCs w:val="28"/>
        </w:rPr>
        <w:t xml:space="preserve"> № 10 от 20.03.2019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г., </w:t>
      </w:r>
      <w:r w:rsidR="00926585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 w:rsidR="007222DE">
        <w:rPr>
          <w:rFonts w:ascii="Times New Roman" w:hAnsi="Times New Roman" w:cs="Times New Roman"/>
          <w:b w:val="0"/>
          <w:sz w:val="28"/>
          <w:szCs w:val="28"/>
        </w:rPr>
        <w:t>ия сельского поселения «Нижний Воч</w:t>
      </w:r>
      <w:r w:rsidR="00926585">
        <w:rPr>
          <w:rFonts w:ascii="Times New Roman" w:hAnsi="Times New Roman" w:cs="Times New Roman"/>
          <w:b w:val="0"/>
          <w:sz w:val="28"/>
          <w:szCs w:val="28"/>
        </w:rPr>
        <w:t>» ПОСТАНОВЛЯЕТ:</w:t>
      </w:r>
    </w:p>
    <w:p w:rsidR="00926585" w:rsidRDefault="00926585" w:rsidP="00926585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план мероприятий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="00DE59DE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1048B9">
        <w:rPr>
          <w:rFonts w:ascii="Times New Roman" w:hAnsi="Times New Roman" w:cs="Times New Roman"/>
          <w:b w:val="0"/>
          <w:sz w:val="28"/>
          <w:szCs w:val="28"/>
        </w:rPr>
        <w:t>о поселения «Нижний Воч» на 2019</w:t>
      </w:r>
      <w:r w:rsidR="00DE59D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35CFF" w:rsidRPr="00535CFF" w:rsidRDefault="00535CFF" w:rsidP="00535CFF">
      <w:pPr>
        <w:pStyle w:val="ConsPlusTitle"/>
        <w:widowControl/>
        <w:ind w:left="709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DE59DE" w:rsidRDefault="00DE59DE" w:rsidP="00DE59D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535CF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«Нижний Воч»</w:t>
      </w:r>
      <w:r w:rsidR="001048B9">
        <w:rPr>
          <w:rFonts w:ascii="Times New Roman" w:hAnsi="Times New Roman" w:cs="Times New Roman"/>
          <w:b w:val="0"/>
          <w:sz w:val="28"/>
          <w:szCs w:val="28"/>
        </w:rPr>
        <w:t xml:space="preserve"> № 12 от 19.03.2018</w:t>
      </w:r>
      <w:r w:rsidR="00535CFF" w:rsidRPr="00535CF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Pr="00DE5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</w:t>
      </w:r>
      <w:r w:rsidR="001048B9">
        <w:rPr>
          <w:rFonts w:ascii="Times New Roman" w:hAnsi="Times New Roman" w:cs="Times New Roman"/>
          <w:b w:val="0"/>
          <w:sz w:val="28"/>
          <w:szCs w:val="28"/>
        </w:rPr>
        <w:t>о поселения «Нижний Воч» на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proofErr w:type="gramEnd"/>
    </w:p>
    <w:p w:rsidR="00535CFF" w:rsidRDefault="00535CFF" w:rsidP="00535C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585" w:rsidRDefault="00926585" w:rsidP="0092658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Настоящее постановление вступает</w:t>
      </w:r>
      <w:r w:rsidR="00DE59DE">
        <w:rPr>
          <w:rFonts w:ascii="Times New Roman" w:hAnsi="Times New Roman" w:cs="Times New Roman"/>
          <w:b w:val="0"/>
          <w:sz w:val="28"/>
          <w:szCs w:val="28"/>
        </w:rPr>
        <w:t xml:space="preserve"> в силу после </w:t>
      </w:r>
      <w:proofErr w:type="gramStart"/>
      <w:r w:rsidR="00DE59DE">
        <w:rPr>
          <w:rFonts w:ascii="Times New Roman" w:hAnsi="Times New Roman" w:cs="Times New Roman"/>
          <w:b w:val="0"/>
          <w:sz w:val="28"/>
          <w:szCs w:val="28"/>
        </w:rPr>
        <w:t>обнародовании</w:t>
      </w:r>
      <w:proofErr w:type="gramEnd"/>
      <w:r w:rsidR="00DE59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6585" w:rsidRDefault="00926585" w:rsidP="0092658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22DE" w:rsidRDefault="007222DE" w:rsidP="00926585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9DE" w:rsidRDefault="00DE59DE" w:rsidP="0092658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6585" w:rsidRDefault="00926585" w:rsidP="007222D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</w:t>
      </w:r>
      <w:r w:rsidR="007222DE">
        <w:rPr>
          <w:rFonts w:ascii="Times New Roman" w:hAnsi="Times New Roman" w:cs="Times New Roman"/>
          <w:b w:val="0"/>
          <w:sz w:val="28"/>
          <w:szCs w:val="28"/>
        </w:rPr>
        <w:t>ва сельского поселения «</w:t>
      </w:r>
      <w:proofErr w:type="gramStart"/>
      <w:r w:rsidR="007222DE">
        <w:rPr>
          <w:rFonts w:ascii="Times New Roman" w:hAnsi="Times New Roman" w:cs="Times New Roman"/>
          <w:b w:val="0"/>
          <w:sz w:val="28"/>
          <w:szCs w:val="28"/>
        </w:rPr>
        <w:t>Нижний</w:t>
      </w:r>
      <w:proofErr w:type="gramEnd"/>
      <w:r w:rsidR="007222DE">
        <w:rPr>
          <w:rFonts w:ascii="Times New Roman" w:hAnsi="Times New Roman" w:cs="Times New Roman"/>
          <w:b w:val="0"/>
          <w:sz w:val="28"/>
          <w:szCs w:val="28"/>
        </w:rPr>
        <w:t xml:space="preserve"> Воч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  <w:r w:rsidR="007222DE">
        <w:rPr>
          <w:rFonts w:ascii="Times New Roman" w:hAnsi="Times New Roman" w:cs="Times New Roman"/>
          <w:b w:val="0"/>
          <w:sz w:val="28"/>
          <w:szCs w:val="28"/>
        </w:rPr>
        <w:t xml:space="preserve">                    Н.Ф. Морохин</w:t>
      </w:r>
    </w:p>
    <w:p w:rsidR="00926585" w:rsidRDefault="00926585" w:rsidP="0092658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0925" w:rsidRDefault="00F60925" w:rsidP="00D95157">
      <w:pPr>
        <w:spacing w:line="0" w:lineRule="atLeast"/>
        <w:rPr>
          <w:bCs/>
          <w:sz w:val="28"/>
          <w:szCs w:val="28"/>
        </w:rPr>
      </w:pPr>
    </w:p>
    <w:p w:rsidR="00D95157" w:rsidRDefault="00D95157" w:rsidP="00D9515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D95157" w:rsidRDefault="00D95157" w:rsidP="00D951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95157" w:rsidRDefault="00D95157" w:rsidP="00D951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«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Воч»</w:t>
      </w:r>
    </w:p>
    <w:p w:rsidR="00D95157" w:rsidRDefault="001048B9" w:rsidP="00D9515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28.03.2019 года № 03</w:t>
      </w:r>
    </w:p>
    <w:p w:rsidR="00D95157" w:rsidRDefault="00D95157" w:rsidP="00D95157"/>
    <w:p w:rsidR="00D95157" w:rsidRPr="00D95157" w:rsidRDefault="00D95157" w:rsidP="00D951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157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D95157" w:rsidRPr="00D95157" w:rsidRDefault="00D95157" w:rsidP="00D951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157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повышению эффективности использования бюджетных средств и увеличению поступлений налоговых и неналоговых доходов бюдже</w:t>
      </w:r>
      <w:r>
        <w:rPr>
          <w:rFonts w:ascii="Times New Roman" w:hAnsi="Times New Roman" w:cs="Times New Roman"/>
          <w:b w:val="0"/>
          <w:sz w:val="28"/>
          <w:szCs w:val="28"/>
        </w:rPr>
        <w:t>та сельского поселения «Нижний Воч</w:t>
      </w:r>
      <w:r w:rsidR="001048B9">
        <w:rPr>
          <w:rFonts w:ascii="Times New Roman" w:hAnsi="Times New Roman" w:cs="Times New Roman"/>
          <w:b w:val="0"/>
          <w:sz w:val="28"/>
          <w:szCs w:val="28"/>
        </w:rPr>
        <w:t>» на 2019</w:t>
      </w:r>
      <w:r w:rsidRPr="00D951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95157" w:rsidRPr="00062AA9" w:rsidRDefault="00D95157" w:rsidP="00D9515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5"/>
        <w:tblW w:w="9714" w:type="dxa"/>
        <w:tblLayout w:type="fixed"/>
        <w:tblLook w:val="01E0"/>
      </w:tblPr>
      <w:tblGrid>
        <w:gridCol w:w="534"/>
        <w:gridCol w:w="6840"/>
        <w:gridCol w:w="2340"/>
      </w:tblGrid>
      <w:tr w:rsidR="00D95157" w:rsidTr="00F60925">
        <w:tc>
          <w:tcPr>
            <w:tcW w:w="534" w:type="dxa"/>
          </w:tcPr>
          <w:p w:rsidR="00D95157" w:rsidRPr="00947976" w:rsidRDefault="00D95157" w:rsidP="003B1004">
            <w:pPr>
              <w:jc w:val="center"/>
              <w:rPr>
                <w:sz w:val="28"/>
                <w:szCs w:val="28"/>
              </w:rPr>
            </w:pPr>
            <w:r w:rsidRPr="00947976"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D95157" w:rsidRPr="008F4A3B" w:rsidRDefault="00D95157" w:rsidP="003B1004">
            <w:pPr>
              <w:jc w:val="center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D95157" w:rsidRPr="008F4A3B" w:rsidRDefault="00D95157" w:rsidP="003B1004">
            <w:pPr>
              <w:jc w:val="center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Ответственный</w:t>
            </w:r>
          </w:p>
        </w:tc>
      </w:tr>
      <w:tr w:rsidR="00D95157" w:rsidTr="00F60925">
        <w:tc>
          <w:tcPr>
            <w:tcW w:w="534" w:type="dxa"/>
          </w:tcPr>
          <w:p w:rsidR="00D95157" w:rsidRPr="00947976" w:rsidRDefault="00D95157" w:rsidP="003B1004">
            <w:pPr>
              <w:jc w:val="both"/>
              <w:rPr>
                <w:sz w:val="28"/>
                <w:szCs w:val="28"/>
              </w:rPr>
            </w:pPr>
            <w:r w:rsidRPr="00947976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D95157" w:rsidRPr="008F4A3B" w:rsidRDefault="00E13D1E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превышать нормативы формирования</w:t>
            </w:r>
            <w:r w:rsidR="00D95157" w:rsidRPr="008F4A3B">
              <w:rPr>
                <w:sz w:val="28"/>
                <w:szCs w:val="28"/>
              </w:rPr>
      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</w:t>
            </w:r>
            <w:r>
              <w:rPr>
                <w:sz w:val="28"/>
                <w:szCs w:val="28"/>
              </w:rPr>
              <w:t xml:space="preserve"> органах МСУ</w:t>
            </w:r>
            <w:r w:rsidR="00D95157" w:rsidRPr="008F4A3B">
              <w:rPr>
                <w:sz w:val="28"/>
                <w:szCs w:val="28"/>
              </w:rPr>
              <w:t>, установленных постановлением Правительства РК</w:t>
            </w:r>
            <w:r w:rsidR="00D951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854B4B" w:rsidTr="00F60925">
        <w:tc>
          <w:tcPr>
            <w:tcW w:w="534" w:type="dxa"/>
          </w:tcPr>
          <w:p w:rsidR="00854B4B" w:rsidRPr="00947976" w:rsidRDefault="00854B4B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854B4B" w:rsidRPr="008F4A3B" w:rsidRDefault="00854B4B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устанавливать и не допускать расходные обязательства, не связанные с решением вопросов, отнесенных Конституцией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2340" w:type="dxa"/>
          </w:tcPr>
          <w:p w:rsidR="00F60925" w:rsidRPr="008F4A3B" w:rsidRDefault="00F60925" w:rsidP="00F60925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854B4B" w:rsidRPr="008F4A3B" w:rsidRDefault="00F60925" w:rsidP="00F60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D95157" w:rsidTr="00F60925">
        <w:tc>
          <w:tcPr>
            <w:tcW w:w="534" w:type="dxa"/>
          </w:tcPr>
          <w:p w:rsidR="00D95157" w:rsidRPr="00947976" w:rsidRDefault="00E13D1E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D95157" w:rsidRPr="008F4A3B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превышать установленные</w:t>
            </w:r>
            <w:r w:rsidR="00D95157" w:rsidRPr="008F4A3B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юджетным кодексом РФ ограничения</w:t>
            </w:r>
            <w:r w:rsidR="00D95157" w:rsidRPr="008F4A3B">
              <w:rPr>
                <w:sz w:val="28"/>
                <w:szCs w:val="28"/>
              </w:rPr>
              <w:t xml:space="preserve"> по размеру резервного фонда </w:t>
            </w:r>
            <w:r>
              <w:rPr>
                <w:sz w:val="28"/>
                <w:szCs w:val="28"/>
              </w:rPr>
              <w:t xml:space="preserve">местной </w:t>
            </w:r>
            <w:r w:rsidR="00D95157" w:rsidRPr="008F4A3B">
              <w:rPr>
                <w:sz w:val="28"/>
                <w:szCs w:val="28"/>
              </w:rPr>
              <w:t>администрации (ст.81), размеру дефицита (ст. 92.1), предельному объему муниципальных заимствований (ст.106), предельному объему муниципаль</w:t>
            </w:r>
            <w:r w:rsidR="00D95157">
              <w:rPr>
                <w:sz w:val="28"/>
                <w:szCs w:val="28"/>
              </w:rPr>
              <w:t>ного долга (ст.107), объему расходов на обслуживание муниципального долга (ст. 111)</w:t>
            </w:r>
          </w:p>
        </w:tc>
        <w:tc>
          <w:tcPr>
            <w:tcW w:w="2340" w:type="dxa"/>
          </w:tcPr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D95157" w:rsidTr="00F60925">
        <w:tc>
          <w:tcPr>
            <w:tcW w:w="534" w:type="dxa"/>
          </w:tcPr>
          <w:p w:rsidR="00D95157" w:rsidRPr="00947976" w:rsidRDefault="00E13D1E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D95157" w:rsidRPr="008F4A3B" w:rsidRDefault="00F60925" w:rsidP="00E13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планирование</w:t>
            </w:r>
            <w:r w:rsidR="00D95157" w:rsidRPr="008F4A3B">
              <w:rPr>
                <w:sz w:val="28"/>
                <w:szCs w:val="28"/>
              </w:rPr>
              <w:t xml:space="preserve"> доходов, расходов и источников финансирования дефицита местного бюджета в соответствии с принципами достоверности и сбалансированности бюджета, установленными ст. 28,33, 37 Бюджетного кодекса РФ. </w:t>
            </w:r>
          </w:p>
        </w:tc>
        <w:tc>
          <w:tcPr>
            <w:tcW w:w="2340" w:type="dxa"/>
          </w:tcPr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D95157" w:rsidTr="00F60925">
        <w:tc>
          <w:tcPr>
            <w:tcW w:w="534" w:type="dxa"/>
          </w:tcPr>
          <w:p w:rsidR="00D95157" w:rsidRPr="00947976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D95157" w:rsidRPr="008F4A3B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отсутствие</w:t>
            </w:r>
            <w:r w:rsidR="00D95157" w:rsidRPr="008F4A3B">
              <w:rPr>
                <w:sz w:val="28"/>
                <w:szCs w:val="28"/>
              </w:rPr>
              <w:t xml:space="preserve"> просроченной кредиторской задолженности по расходам, финансируемым за счет средств бюджета сельского поселения</w:t>
            </w:r>
          </w:p>
        </w:tc>
        <w:tc>
          <w:tcPr>
            <w:tcW w:w="2340" w:type="dxa"/>
          </w:tcPr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D95157" w:rsidRPr="008F4A3B" w:rsidRDefault="00D95157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43110A" w:rsidTr="00F60925">
        <w:tc>
          <w:tcPr>
            <w:tcW w:w="534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уточнение невыясненных поступлений, зачисляемых в бюджет сельского поселения</w:t>
            </w:r>
          </w:p>
        </w:tc>
        <w:tc>
          <w:tcPr>
            <w:tcW w:w="2340" w:type="dxa"/>
          </w:tcPr>
          <w:p w:rsidR="00F60925" w:rsidRPr="008F4A3B" w:rsidRDefault="00F60925" w:rsidP="00F60925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43110A" w:rsidRPr="008F4A3B" w:rsidRDefault="00F60925" w:rsidP="00F60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43110A" w:rsidTr="00F60925">
        <w:tc>
          <w:tcPr>
            <w:tcW w:w="534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информационное взаимодействие с оператором ГИС ГМП и достижение целевых значений</w:t>
            </w:r>
          </w:p>
        </w:tc>
        <w:tc>
          <w:tcPr>
            <w:tcW w:w="2340" w:type="dxa"/>
          </w:tcPr>
          <w:p w:rsidR="00F60925" w:rsidRPr="008F4A3B" w:rsidRDefault="00F60925" w:rsidP="00F60925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43110A" w:rsidRPr="008F4A3B" w:rsidRDefault="00F60925" w:rsidP="00F60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43110A" w:rsidTr="00F60925">
        <w:tc>
          <w:tcPr>
            <w:tcW w:w="534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840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образования задолженности арендаторов перед местным бюджетом по доходам от сдачи в аренду муниципального имущества</w:t>
            </w:r>
          </w:p>
        </w:tc>
        <w:tc>
          <w:tcPr>
            <w:tcW w:w="2340" w:type="dxa"/>
          </w:tcPr>
          <w:p w:rsidR="00F60925" w:rsidRPr="008F4A3B" w:rsidRDefault="00F60925" w:rsidP="00F60925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43110A" w:rsidRPr="008F4A3B" w:rsidRDefault="00F60925" w:rsidP="00F60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43110A" w:rsidTr="00F60925">
        <w:tc>
          <w:tcPr>
            <w:tcW w:w="534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40" w:type="dxa"/>
          </w:tcPr>
          <w:p w:rsidR="0043110A" w:rsidRDefault="0043110A" w:rsidP="003B1004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 xml:space="preserve">Не допускать увеличения </w:t>
            </w:r>
            <w:r>
              <w:rPr>
                <w:sz w:val="28"/>
                <w:szCs w:val="28"/>
              </w:rPr>
              <w:t xml:space="preserve">штатной </w:t>
            </w:r>
            <w:r w:rsidRPr="008F4A3B">
              <w:rPr>
                <w:sz w:val="28"/>
                <w:szCs w:val="28"/>
              </w:rPr>
              <w:t>численности работников администрации сельского поселения</w:t>
            </w:r>
          </w:p>
        </w:tc>
        <w:tc>
          <w:tcPr>
            <w:tcW w:w="2340" w:type="dxa"/>
          </w:tcPr>
          <w:p w:rsidR="0043110A" w:rsidRPr="008F4A3B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Морохин Н.Ф.</w:t>
            </w:r>
          </w:p>
        </w:tc>
      </w:tr>
      <w:tr w:rsidR="00F60925" w:rsidTr="00F60925">
        <w:tc>
          <w:tcPr>
            <w:tcW w:w="534" w:type="dxa"/>
          </w:tcPr>
          <w:p w:rsidR="00F60925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F60925" w:rsidRPr="008F4A3B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своевременный возврат</w:t>
            </w:r>
            <w:r w:rsidRPr="008F4A3B">
              <w:rPr>
                <w:sz w:val="28"/>
                <w:szCs w:val="28"/>
              </w:rPr>
              <w:t xml:space="preserve"> в доход бюджета сельского поселения бюджетных средств по необоснованным выплатам, выявленным в ходе контрольных мероприятий</w:t>
            </w:r>
          </w:p>
        </w:tc>
        <w:tc>
          <w:tcPr>
            <w:tcW w:w="2340" w:type="dxa"/>
          </w:tcPr>
          <w:p w:rsidR="00F60925" w:rsidRPr="008F4A3B" w:rsidRDefault="00F60925" w:rsidP="00F60925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F60925" w:rsidRPr="008F4A3B" w:rsidRDefault="00F60925" w:rsidP="00F60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  <w:tr w:rsidR="00F60925" w:rsidTr="00F60925">
        <w:tc>
          <w:tcPr>
            <w:tcW w:w="534" w:type="dxa"/>
          </w:tcPr>
          <w:p w:rsidR="00F60925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F60925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обязательств, указанных в Соглашении</w:t>
            </w:r>
          </w:p>
        </w:tc>
        <w:tc>
          <w:tcPr>
            <w:tcW w:w="2340" w:type="dxa"/>
          </w:tcPr>
          <w:p w:rsidR="00F60925" w:rsidRPr="008F4A3B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Морохин Н.Ф.</w:t>
            </w:r>
          </w:p>
        </w:tc>
      </w:tr>
      <w:tr w:rsidR="00D95157" w:rsidTr="00F60925">
        <w:tc>
          <w:tcPr>
            <w:tcW w:w="534" w:type="dxa"/>
          </w:tcPr>
          <w:p w:rsidR="00D95157" w:rsidRPr="00947976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D95157" w:rsidRPr="008F4A3B" w:rsidRDefault="00F60925" w:rsidP="003B1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в финансовое управление отчет о выполнении условий Соглашения по установленной финансовым управлением форме по итогам 2019 года – в срок не позднее 15 февраля 2020 года</w:t>
            </w:r>
          </w:p>
        </w:tc>
        <w:tc>
          <w:tcPr>
            <w:tcW w:w="2340" w:type="dxa"/>
          </w:tcPr>
          <w:p w:rsidR="00F60925" w:rsidRPr="008F4A3B" w:rsidRDefault="00F60925" w:rsidP="00F60925">
            <w:pPr>
              <w:jc w:val="both"/>
              <w:rPr>
                <w:sz w:val="28"/>
                <w:szCs w:val="28"/>
              </w:rPr>
            </w:pPr>
            <w:r w:rsidRPr="008F4A3B">
              <w:rPr>
                <w:sz w:val="28"/>
                <w:szCs w:val="28"/>
              </w:rPr>
              <w:t>Гл. бухгалтер</w:t>
            </w:r>
          </w:p>
          <w:p w:rsidR="00D95157" w:rsidRPr="008F4A3B" w:rsidRDefault="00F60925" w:rsidP="00F60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Гичева В.А.</w:t>
            </w:r>
          </w:p>
        </w:tc>
      </w:tr>
    </w:tbl>
    <w:p w:rsidR="00D95157" w:rsidRDefault="00D95157" w:rsidP="00D95157">
      <w:pPr>
        <w:ind w:firstLine="540"/>
        <w:jc w:val="both"/>
      </w:pPr>
    </w:p>
    <w:p w:rsidR="00D95157" w:rsidRDefault="00D95157" w:rsidP="00926585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6585" w:rsidRDefault="00926585" w:rsidP="00926585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926585" w:rsidSect="003F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AA3"/>
    <w:multiLevelType w:val="hybridMultilevel"/>
    <w:tmpl w:val="9A0687D0"/>
    <w:lvl w:ilvl="0" w:tplc="8F2AEB96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9DA185B"/>
    <w:multiLevelType w:val="hybridMultilevel"/>
    <w:tmpl w:val="73946E9A"/>
    <w:lvl w:ilvl="0" w:tplc="A5D08FF0">
      <w:start w:val="1"/>
      <w:numFmt w:val="decimal"/>
      <w:lvlText w:val="%1."/>
      <w:lvlJc w:val="left"/>
      <w:pPr>
        <w:ind w:left="1200" w:hanging="120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85"/>
    <w:rsid w:val="001048B9"/>
    <w:rsid w:val="003F14C7"/>
    <w:rsid w:val="0043110A"/>
    <w:rsid w:val="004B069E"/>
    <w:rsid w:val="00535CFF"/>
    <w:rsid w:val="007222DE"/>
    <w:rsid w:val="00854B4B"/>
    <w:rsid w:val="00926585"/>
    <w:rsid w:val="00960AEE"/>
    <w:rsid w:val="00A268DC"/>
    <w:rsid w:val="00A92257"/>
    <w:rsid w:val="00D95157"/>
    <w:rsid w:val="00DE59DE"/>
    <w:rsid w:val="00E13D1E"/>
    <w:rsid w:val="00E60AB5"/>
    <w:rsid w:val="00F36A24"/>
    <w:rsid w:val="00F60925"/>
    <w:rsid w:val="00F6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2D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6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22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D9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6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10</cp:revision>
  <dcterms:created xsi:type="dcterms:W3CDTF">2018-03-22T11:49:00Z</dcterms:created>
  <dcterms:modified xsi:type="dcterms:W3CDTF">2019-03-28T07:24:00Z</dcterms:modified>
</cp:coreProperties>
</file>